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44B7D" w14:textId="7D20E27B" w:rsidR="00327640" w:rsidRDefault="00947D7A" w:rsidP="00327640">
      <w:pPr>
        <w:spacing w:after="0" w:line="240" w:lineRule="auto"/>
        <w:jc w:val="center"/>
        <w:rPr>
          <w:b/>
          <w:bCs/>
          <w:sz w:val="36"/>
          <w:szCs w:val="36"/>
        </w:rPr>
      </w:pPr>
      <w:r w:rsidRPr="00327640">
        <w:rPr>
          <w:b/>
          <w:bCs/>
          <w:sz w:val="36"/>
          <w:szCs w:val="36"/>
        </w:rPr>
        <w:t xml:space="preserve">All-party Parliamentary Group </w:t>
      </w:r>
      <w:r w:rsidR="00702A2E" w:rsidRPr="00327640">
        <w:rPr>
          <w:b/>
          <w:bCs/>
          <w:sz w:val="36"/>
          <w:szCs w:val="36"/>
        </w:rPr>
        <w:t>for</w:t>
      </w:r>
    </w:p>
    <w:p w14:paraId="5B998643" w14:textId="3F9E78FD" w:rsidR="009B3030" w:rsidRPr="00327640" w:rsidRDefault="00702A2E" w:rsidP="00327640">
      <w:pPr>
        <w:spacing w:after="0" w:line="240" w:lineRule="auto"/>
        <w:jc w:val="center"/>
        <w:rPr>
          <w:b/>
          <w:bCs/>
          <w:sz w:val="36"/>
          <w:szCs w:val="36"/>
        </w:rPr>
      </w:pPr>
      <w:r w:rsidRPr="00327640">
        <w:rPr>
          <w:b/>
          <w:bCs/>
          <w:sz w:val="36"/>
          <w:szCs w:val="36"/>
        </w:rPr>
        <w:t>Outdoor Recreation and Access to Nature</w:t>
      </w:r>
    </w:p>
    <w:p w14:paraId="27F0F421" w14:textId="4E4FB5AD" w:rsidR="00702A2E" w:rsidRPr="00327640" w:rsidRDefault="00702A2E" w:rsidP="00327640">
      <w:pPr>
        <w:spacing w:after="0" w:line="240" w:lineRule="auto"/>
        <w:jc w:val="center"/>
        <w:rPr>
          <w:sz w:val="32"/>
          <w:szCs w:val="32"/>
        </w:rPr>
      </w:pPr>
      <w:r w:rsidRPr="00327640">
        <w:rPr>
          <w:sz w:val="32"/>
          <w:szCs w:val="32"/>
        </w:rPr>
        <w:t>21.10.25</w:t>
      </w:r>
    </w:p>
    <w:p w14:paraId="6B6DB3CA" w14:textId="77777777" w:rsidR="00A840C7" w:rsidRPr="00A840C7" w:rsidRDefault="00A840C7" w:rsidP="00A840C7">
      <w:pPr>
        <w:spacing w:after="0" w:line="240" w:lineRule="auto"/>
        <w:rPr>
          <w:b/>
          <w:bCs/>
        </w:rPr>
      </w:pPr>
    </w:p>
    <w:p w14:paraId="6A973235" w14:textId="0A256E48" w:rsidR="00A840C7" w:rsidRPr="00A840C7" w:rsidRDefault="00A840C7" w:rsidP="00A840C7">
      <w:pPr>
        <w:spacing w:after="0" w:line="240" w:lineRule="auto"/>
      </w:pPr>
      <w:r w:rsidRPr="00A840C7">
        <w:t xml:space="preserve">The All-Party Parliamentary Group (APPG) on Outdoor Recreation and Access to Nature met in October to discuss ongoing efforts to improve </w:t>
      </w:r>
      <w:r w:rsidR="002B2C9E">
        <w:t xml:space="preserve">public </w:t>
      </w:r>
      <w:r w:rsidRPr="00A840C7">
        <w:t>access to the outdoors.</w:t>
      </w:r>
    </w:p>
    <w:p w14:paraId="2BF10D0C" w14:textId="77777777" w:rsidR="00A840C7" w:rsidRDefault="00A840C7" w:rsidP="00A840C7">
      <w:pPr>
        <w:spacing w:after="0" w:line="240" w:lineRule="auto"/>
        <w:rPr>
          <w:b/>
          <w:bCs/>
        </w:rPr>
      </w:pPr>
    </w:p>
    <w:p w14:paraId="269924A8" w14:textId="46859755" w:rsidR="0072582C" w:rsidRPr="00A840C7" w:rsidRDefault="0072582C" w:rsidP="00A840C7">
      <w:pPr>
        <w:spacing w:after="0" w:line="240" w:lineRule="auto"/>
        <w:rPr>
          <w:b/>
          <w:bCs/>
        </w:rPr>
      </w:pPr>
      <w:r>
        <w:rPr>
          <w:b/>
          <w:bCs/>
        </w:rPr>
        <w:t xml:space="preserve">‘Outdoors for All’ </w:t>
      </w:r>
      <w:r w:rsidR="00AD695E">
        <w:rPr>
          <w:b/>
          <w:bCs/>
        </w:rPr>
        <w:t>i</w:t>
      </w:r>
      <w:r>
        <w:rPr>
          <w:b/>
          <w:bCs/>
        </w:rPr>
        <w:t>nquiry report</w:t>
      </w:r>
      <w:r w:rsidR="00AD695E">
        <w:rPr>
          <w:b/>
          <w:bCs/>
        </w:rPr>
        <w:t xml:space="preserve"> – feedback and next steps</w:t>
      </w:r>
    </w:p>
    <w:p w14:paraId="45A4DC2C" w14:textId="28B0936B" w:rsidR="00A840C7" w:rsidRPr="00A840C7" w:rsidRDefault="00A840C7" w:rsidP="00A840C7">
      <w:pPr>
        <w:spacing w:after="0" w:line="240" w:lineRule="auto"/>
      </w:pPr>
      <w:r w:rsidRPr="00A840C7">
        <w:t xml:space="preserve">Members and stakeholders welcomed the </w:t>
      </w:r>
      <w:r w:rsidR="00053A7B">
        <w:t xml:space="preserve">positive </w:t>
      </w:r>
      <w:r w:rsidRPr="00A840C7">
        <w:t xml:space="preserve">response to the </w:t>
      </w:r>
      <w:r w:rsidR="00080AC5">
        <w:t>APPG</w:t>
      </w:r>
      <w:r w:rsidRPr="00A840C7">
        <w:t>’s recent</w:t>
      </w:r>
      <w:r w:rsidR="00450E29">
        <w:t xml:space="preserve"> inquiry</w:t>
      </w:r>
      <w:r w:rsidRPr="00A840C7">
        <w:t xml:space="preserve"> report, which set out an ambitious vision for improving access to nature </w:t>
      </w:r>
      <w:r w:rsidR="00450E29">
        <w:t>in England.</w:t>
      </w:r>
      <w:r w:rsidRPr="00A840C7">
        <w:t xml:space="preserve"> Discussions focused on how to maintain momentum and continue raising the profile of access issues within government and beyond.</w:t>
      </w:r>
      <w:r w:rsidR="0072582C">
        <w:t xml:space="preserve"> </w:t>
      </w:r>
    </w:p>
    <w:p w14:paraId="609F6F6E" w14:textId="77777777" w:rsidR="00A840C7" w:rsidRPr="00A840C7" w:rsidRDefault="00A840C7" w:rsidP="00A840C7">
      <w:pPr>
        <w:spacing w:after="0" w:line="240" w:lineRule="auto"/>
        <w:rPr>
          <w:b/>
          <w:bCs/>
        </w:rPr>
      </w:pPr>
    </w:p>
    <w:p w14:paraId="5F82BAEE" w14:textId="311CA8C0" w:rsidR="00A840C7" w:rsidRPr="00A840C7" w:rsidRDefault="00A840C7" w:rsidP="00A840C7">
      <w:pPr>
        <w:spacing w:after="0" w:line="240" w:lineRule="auto"/>
        <w:rPr>
          <w:b/>
          <w:bCs/>
        </w:rPr>
      </w:pPr>
      <w:r w:rsidRPr="00A840C7">
        <w:rPr>
          <w:b/>
          <w:bCs/>
        </w:rPr>
        <w:t>Access</w:t>
      </w:r>
      <w:r w:rsidR="00C4392B">
        <w:rPr>
          <w:b/>
          <w:bCs/>
        </w:rPr>
        <w:t xml:space="preserve"> and p</w:t>
      </w:r>
      <w:r w:rsidRPr="00A840C7">
        <w:rPr>
          <w:b/>
          <w:bCs/>
        </w:rPr>
        <w:t>lanning</w:t>
      </w:r>
    </w:p>
    <w:p w14:paraId="7A8D885E" w14:textId="77777777" w:rsidR="00A840C7" w:rsidRPr="00A840C7" w:rsidRDefault="00A840C7" w:rsidP="00A840C7">
      <w:pPr>
        <w:spacing w:after="0" w:line="240" w:lineRule="auto"/>
      </w:pPr>
      <w:r w:rsidRPr="00A840C7">
        <w:t>The group discussed opportunities to ensure that planning and infrastructure decisions protect and enhance public access to green and blue spaces, particularly in urban areas and communities that currently have limited access to nature. There was a shared commitment to promoting approaches that integrate nature, health, and access.</w:t>
      </w:r>
    </w:p>
    <w:p w14:paraId="22B580AD" w14:textId="77777777" w:rsidR="00A840C7" w:rsidRPr="00A840C7" w:rsidRDefault="00A840C7" w:rsidP="00A840C7">
      <w:pPr>
        <w:spacing w:after="0" w:line="240" w:lineRule="auto"/>
        <w:rPr>
          <w:b/>
          <w:bCs/>
        </w:rPr>
      </w:pPr>
    </w:p>
    <w:p w14:paraId="28163082" w14:textId="4A3F3E58" w:rsidR="00A840C7" w:rsidRPr="00A840C7" w:rsidRDefault="00A840C7" w:rsidP="00A840C7">
      <w:pPr>
        <w:spacing w:after="0" w:line="240" w:lineRule="auto"/>
        <w:rPr>
          <w:b/>
          <w:bCs/>
        </w:rPr>
      </w:pPr>
      <w:r w:rsidRPr="00A840C7">
        <w:rPr>
          <w:b/>
          <w:bCs/>
        </w:rPr>
        <w:t xml:space="preserve">Water </w:t>
      </w:r>
      <w:r w:rsidR="00CE2BFC">
        <w:rPr>
          <w:b/>
          <w:bCs/>
        </w:rPr>
        <w:t>r</w:t>
      </w:r>
      <w:r w:rsidRPr="00A840C7">
        <w:rPr>
          <w:b/>
          <w:bCs/>
        </w:rPr>
        <w:t xml:space="preserve">eform </w:t>
      </w:r>
      <w:r w:rsidR="00CE2BFC">
        <w:rPr>
          <w:b/>
          <w:bCs/>
        </w:rPr>
        <w:t>- a</w:t>
      </w:r>
      <w:r w:rsidRPr="00A840C7">
        <w:rPr>
          <w:b/>
          <w:bCs/>
        </w:rPr>
        <w:t xml:space="preserve">ccess </w:t>
      </w:r>
      <w:r w:rsidR="00CE2BFC">
        <w:rPr>
          <w:b/>
          <w:bCs/>
        </w:rPr>
        <w:t>o</w:t>
      </w:r>
      <w:r w:rsidRPr="00A840C7">
        <w:rPr>
          <w:b/>
          <w:bCs/>
        </w:rPr>
        <w:t>pportunities</w:t>
      </w:r>
    </w:p>
    <w:p w14:paraId="6D678D6C" w14:textId="33CB88B0" w:rsidR="00A840C7" w:rsidRPr="00A840C7" w:rsidRDefault="00A840C7" w:rsidP="00A840C7">
      <w:pPr>
        <w:spacing w:after="0" w:line="240" w:lineRule="auto"/>
      </w:pPr>
      <w:r w:rsidRPr="00A840C7">
        <w:t>Members explored how forthcoming water sector reforms could strengthen existing commitments to public access and recreation</w:t>
      </w:r>
      <w:r w:rsidR="00513869">
        <w:t xml:space="preserve"> on and</w:t>
      </w:r>
      <w:r w:rsidRPr="00A840C7">
        <w:t xml:space="preserve"> around water. The discussion highlighted the importance of ensuring that outdoor recreation is recognised as part of responsible water and land management.</w:t>
      </w:r>
    </w:p>
    <w:p w14:paraId="38A96118" w14:textId="77777777" w:rsidR="00A840C7" w:rsidRPr="00A840C7" w:rsidRDefault="00A840C7" w:rsidP="00A840C7">
      <w:pPr>
        <w:spacing w:after="0" w:line="240" w:lineRule="auto"/>
        <w:rPr>
          <w:b/>
          <w:bCs/>
        </w:rPr>
      </w:pPr>
    </w:p>
    <w:p w14:paraId="54FEAF1B" w14:textId="77777777" w:rsidR="00A840C7" w:rsidRPr="00A840C7" w:rsidRDefault="00A840C7" w:rsidP="00A840C7">
      <w:pPr>
        <w:spacing w:after="0" w:line="240" w:lineRule="auto"/>
        <w:rPr>
          <w:b/>
          <w:bCs/>
        </w:rPr>
      </w:pPr>
      <w:r w:rsidRPr="00A840C7">
        <w:rPr>
          <w:b/>
          <w:bCs/>
        </w:rPr>
        <w:t>Health and Nature</w:t>
      </w:r>
    </w:p>
    <w:p w14:paraId="4A737BCF" w14:textId="7BF87C69" w:rsidR="00A840C7" w:rsidRPr="00A840C7" w:rsidRDefault="00A840C7" w:rsidP="00A840C7">
      <w:pPr>
        <w:spacing w:after="0" w:line="240" w:lineRule="auto"/>
      </w:pPr>
      <w:r w:rsidRPr="00A840C7">
        <w:t>The meeting received an update from the</w:t>
      </w:r>
      <w:hyperlink r:id="rId5" w:history="1">
        <w:r w:rsidRPr="00ED645B">
          <w:rPr>
            <w:rStyle w:val="Hyperlink"/>
          </w:rPr>
          <w:t xml:space="preserve"> Health Equals</w:t>
        </w:r>
      </w:hyperlink>
      <w:r w:rsidRPr="00A840C7">
        <w:t xml:space="preserve"> campaign</w:t>
      </w:r>
      <w:r w:rsidR="0000236F">
        <w:t xml:space="preserve">. </w:t>
      </w:r>
      <w:r w:rsidRPr="00A840C7">
        <w:t>The discussion recognised the growing body of evidence linking nature connection with improved physical and mental health, and the importance of ensuring everyone can benefit from access to outdoor spaces.</w:t>
      </w:r>
    </w:p>
    <w:p w14:paraId="4B61802D" w14:textId="77777777" w:rsidR="00A840C7" w:rsidRPr="00A840C7" w:rsidRDefault="00A840C7" w:rsidP="00A840C7">
      <w:pPr>
        <w:spacing w:after="0" w:line="240" w:lineRule="auto"/>
        <w:rPr>
          <w:b/>
          <w:bCs/>
        </w:rPr>
      </w:pPr>
    </w:p>
    <w:p w14:paraId="767F1F3A" w14:textId="77777777" w:rsidR="00A840C7" w:rsidRPr="00A840C7" w:rsidRDefault="00A840C7" w:rsidP="00A840C7">
      <w:pPr>
        <w:spacing w:after="0" w:line="240" w:lineRule="auto"/>
        <w:rPr>
          <w:b/>
          <w:bCs/>
        </w:rPr>
      </w:pPr>
      <w:r w:rsidRPr="00A840C7">
        <w:rPr>
          <w:b/>
          <w:bCs/>
        </w:rPr>
        <w:t>Future Events and Topics</w:t>
      </w:r>
    </w:p>
    <w:p w14:paraId="2E24DC49" w14:textId="77777777" w:rsidR="00A840C7" w:rsidRPr="00A840C7" w:rsidRDefault="00A840C7" w:rsidP="00A840C7">
      <w:pPr>
        <w:spacing w:after="0" w:line="240" w:lineRule="auto"/>
      </w:pPr>
      <w:r w:rsidRPr="00A840C7">
        <w:t>Looking ahead, members expressed interest in organising visits and discussions that explore both urban and rural access. Possible themes for future sessions include health and wellbeing, barriers to access, outdoor learning for children, and the value of outdoor recreation to local economies.</w:t>
      </w:r>
    </w:p>
    <w:p w14:paraId="5723A799" w14:textId="77777777" w:rsidR="00A840C7" w:rsidRPr="00A840C7" w:rsidRDefault="00A840C7" w:rsidP="00A840C7">
      <w:pPr>
        <w:spacing w:after="0" w:line="240" w:lineRule="auto"/>
        <w:rPr>
          <w:b/>
          <w:bCs/>
        </w:rPr>
      </w:pPr>
    </w:p>
    <w:p w14:paraId="0DE17293" w14:textId="77777777" w:rsidR="00A840C7" w:rsidRPr="00A840C7" w:rsidRDefault="00A840C7" w:rsidP="00A840C7">
      <w:pPr>
        <w:spacing w:after="0" w:line="240" w:lineRule="auto"/>
        <w:rPr>
          <w:b/>
          <w:bCs/>
        </w:rPr>
      </w:pPr>
      <w:r w:rsidRPr="00A840C7">
        <w:rPr>
          <w:b/>
          <w:bCs/>
        </w:rPr>
        <w:t>Upcoming Dates</w:t>
      </w:r>
    </w:p>
    <w:p w14:paraId="3D117C35" w14:textId="77777777" w:rsidR="0059774C" w:rsidRDefault="0059774C" w:rsidP="00A840C7">
      <w:pPr>
        <w:spacing w:after="0" w:line="240" w:lineRule="auto"/>
      </w:pPr>
    </w:p>
    <w:p w14:paraId="0471F375" w14:textId="604B1FD8" w:rsidR="00A840C7" w:rsidRPr="00A840C7" w:rsidRDefault="00A840C7" w:rsidP="00A840C7">
      <w:pPr>
        <w:spacing w:after="0" w:line="240" w:lineRule="auto"/>
      </w:pPr>
      <w:r w:rsidRPr="00A840C7">
        <w:t>25 November 2025 – Parliamentary drop-in briefing for MPs (Portcullis House, 10am–12pm).</w:t>
      </w:r>
    </w:p>
    <w:p w14:paraId="2295781E" w14:textId="77777777" w:rsidR="00A840C7" w:rsidRPr="00A840C7" w:rsidRDefault="00A840C7" w:rsidP="00A840C7">
      <w:pPr>
        <w:spacing w:after="0" w:line="240" w:lineRule="auto"/>
      </w:pPr>
    </w:p>
    <w:p w14:paraId="121578F4" w14:textId="5B2DDB9B" w:rsidR="00A840C7" w:rsidRPr="00A840C7" w:rsidRDefault="00A840C7" w:rsidP="00A840C7">
      <w:pPr>
        <w:spacing w:after="0" w:line="240" w:lineRule="auto"/>
      </w:pPr>
      <w:r w:rsidRPr="00A840C7">
        <w:t>29 November 2025 – Event at Hebden Bridge marking the 25th anniversary of the Countryside and Rights of Way Act.</w:t>
      </w:r>
    </w:p>
    <w:p w14:paraId="623CE8A7" w14:textId="77777777" w:rsidR="00A840C7" w:rsidRDefault="00A840C7" w:rsidP="00327640">
      <w:pPr>
        <w:spacing w:after="0" w:line="240" w:lineRule="auto"/>
        <w:rPr>
          <w:b/>
          <w:bCs/>
        </w:rPr>
      </w:pPr>
    </w:p>
    <w:p w14:paraId="4ACC3769" w14:textId="77777777" w:rsidR="00A840C7" w:rsidRDefault="00A840C7" w:rsidP="00327640">
      <w:pPr>
        <w:spacing w:after="0" w:line="240" w:lineRule="auto"/>
        <w:rPr>
          <w:b/>
          <w:bCs/>
        </w:rPr>
      </w:pPr>
    </w:p>
    <w:p w14:paraId="2106BED8" w14:textId="77777777" w:rsidR="00895FF8" w:rsidRPr="00242389" w:rsidRDefault="00895FF8">
      <w:pPr>
        <w:rPr>
          <w:u w:val="single"/>
        </w:rPr>
      </w:pPr>
    </w:p>
    <w:sectPr w:rsidR="00895FF8" w:rsidRPr="002423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84200"/>
    <w:multiLevelType w:val="hybridMultilevel"/>
    <w:tmpl w:val="0E2AE238"/>
    <w:lvl w:ilvl="0" w:tplc="ACDE73CE">
      <w:start w:val="2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249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458"/>
    <w:rsid w:val="0000236F"/>
    <w:rsid w:val="00002404"/>
    <w:rsid w:val="0001179A"/>
    <w:rsid w:val="000204D7"/>
    <w:rsid w:val="00053A7B"/>
    <w:rsid w:val="00070813"/>
    <w:rsid w:val="00080AC5"/>
    <w:rsid w:val="000C3667"/>
    <w:rsid w:val="000C3C57"/>
    <w:rsid w:val="000D05E8"/>
    <w:rsid w:val="000D2E52"/>
    <w:rsid w:val="000E253A"/>
    <w:rsid w:val="000F776F"/>
    <w:rsid w:val="00111A2F"/>
    <w:rsid w:val="00190BE4"/>
    <w:rsid w:val="001C2C17"/>
    <w:rsid w:val="00242389"/>
    <w:rsid w:val="0024552A"/>
    <w:rsid w:val="00254458"/>
    <w:rsid w:val="00262B34"/>
    <w:rsid w:val="0027514D"/>
    <w:rsid w:val="002B2C9E"/>
    <w:rsid w:val="002C1810"/>
    <w:rsid w:val="002C668F"/>
    <w:rsid w:val="003054D8"/>
    <w:rsid w:val="00326B0F"/>
    <w:rsid w:val="00327640"/>
    <w:rsid w:val="00334210"/>
    <w:rsid w:val="00390F37"/>
    <w:rsid w:val="003C6E30"/>
    <w:rsid w:val="00406067"/>
    <w:rsid w:val="00417787"/>
    <w:rsid w:val="00450E29"/>
    <w:rsid w:val="00453225"/>
    <w:rsid w:val="00455046"/>
    <w:rsid w:val="00481802"/>
    <w:rsid w:val="004D16E1"/>
    <w:rsid w:val="004E2879"/>
    <w:rsid w:val="00513869"/>
    <w:rsid w:val="005156C6"/>
    <w:rsid w:val="0051650C"/>
    <w:rsid w:val="00574D48"/>
    <w:rsid w:val="0059255A"/>
    <w:rsid w:val="0059774C"/>
    <w:rsid w:val="005B11D2"/>
    <w:rsid w:val="00635CB3"/>
    <w:rsid w:val="0064316F"/>
    <w:rsid w:val="00664586"/>
    <w:rsid w:val="00683CEB"/>
    <w:rsid w:val="006B377E"/>
    <w:rsid w:val="006D0D38"/>
    <w:rsid w:val="006E23B3"/>
    <w:rsid w:val="006E7AC9"/>
    <w:rsid w:val="006F297C"/>
    <w:rsid w:val="00702A2E"/>
    <w:rsid w:val="00715837"/>
    <w:rsid w:val="0072582C"/>
    <w:rsid w:val="007841AF"/>
    <w:rsid w:val="007A0361"/>
    <w:rsid w:val="007A7F19"/>
    <w:rsid w:val="007C2582"/>
    <w:rsid w:val="007D6D20"/>
    <w:rsid w:val="007E5B7D"/>
    <w:rsid w:val="007F3FAB"/>
    <w:rsid w:val="0080625E"/>
    <w:rsid w:val="00826C11"/>
    <w:rsid w:val="00827534"/>
    <w:rsid w:val="00837751"/>
    <w:rsid w:val="0089032C"/>
    <w:rsid w:val="00895FF8"/>
    <w:rsid w:val="008C5EE3"/>
    <w:rsid w:val="009376AF"/>
    <w:rsid w:val="00947D7A"/>
    <w:rsid w:val="009845B8"/>
    <w:rsid w:val="009A3CC5"/>
    <w:rsid w:val="009B3030"/>
    <w:rsid w:val="009D5A33"/>
    <w:rsid w:val="009E7414"/>
    <w:rsid w:val="00A14443"/>
    <w:rsid w:val="00A536E5"/>
    <w:rsid w:val="00A80EB2"/>
    <w:rsid w:val="00A840C7"/>
    <w:rsid w:val="00AB72B8"/>
    <w:rsid w:val="00AD0098"/>
    <w:rsid w:val="00AD6149"/>
    <w:rsid w:val="00AD695E"/>
    <w:rsid w:val="00B120C1"/>
    <w:rsid w:val="00B365B1"/>
    <w:rsid w:val="00B5347A"/>
    <w:rsid w:val="00B57966"/>
    <w:rsid w:val="00B927F4"/>
    <w:rsid w:val="00BC5DC1"/>
    <w:rsid w:val="00C4392B"/>
    <w:rsid w:val="00C52F22"/>
    <w:rsid w:val="00C650E6"/>
    <w:rsid w:val="00C72AC6"/>
    <w:rsid w:val="00C771EA"/>
    <w:rsid w:val="00C95204"/>
    <w:rsid w:val="00CE2BFC"/>
    <w:rsid w:val="00CE40C0"/>
    <w:rsid w:val="00CF0100"/>
    <w:rsid w:val="00D02050"/>
    <w:rsid w:val="00D02667"/>
    <w:rsid w:val="00D0682D"/>
    <w:rsid w:val="00D43DBB"/>
    <w:rsid w:val="00D52E08"/>
    <w:rsid w:val="00D677C5"/>
    <w:rsid w:val="00D74206"/>
    <w:rsid w:val="00D77B42"/>
    <w:rsid w:val="00D91675"/>
    <w:rsid w:val="00DB3C29"/>
    <w:rsid w:val="00DC530E"/>
    <w:rsid w:val="00DD45FB"/>
    <w:rsid w:val="00DF41AF"/>
    <w:rsid w:val="00DF52AB"/>
    <w:rsid w:val="00DF6EE6"/>
    <w:rsid w:val="00E16F5D"/>
    <w:rsid w:val="00E65E3B"/>
    <w:rsid w:val="00E83B12"/>
    <w:rsid w:val="00E868D6"/>
    <w:rsid w:val="00E96B3E"/>
    <w:rsid w:val="00EB3B23"/>
    <w:rsid w:val="00ED6118"/>
    <w:rsid w:val="00ED645B"/>
    <w:rsid w:val="00EF6509"/>
    <w:rsid w:val="00F018F3"/>
    <w:rsid w:val="00F17727"/>
    <w:rsid w:val="00F6668A"/>
    <w:rsid w:val="00F70CF4"/>
    <w:rsid w:val="00F7604F"/>
    <w:rsid w:val="00F768F1"/>
    <w:rsid w:val="00FA30EE"/>
    <w:rsid w:val="00FB210B"/>
    <w:rsid w:val="00FE69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911E5"/>
  <w15:chartTrackingRefBased/>
  <w15:docId w15:val="{E65F8E1F-EBE2-426E-AD7D-C1A96744B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44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44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44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44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44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44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44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44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44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44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44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44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44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44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44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44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44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4458"/>
    <w:rPr>
      <w:rFonts w:eastAsiaTheme="majorEastAsia" w:cstheme="majorBidi"/>
      <w:color w:val="272727" w:themeColor="text1" w:themeTint="D8"/>
    </w:rPr>
  </w:style>
  <w:style w:type="paragraph" w:styleId="Title">
    <w:name w:val="Title"/>
    <w:basedOn w:val="Normal"/>
    <w:next w:val="Normal"/>
    <w:link w:val="TitleChar"/>
    <w:uiPriority w:val="10"/>
    <w:qFormat/>
    <w:rsid w:val="002544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44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44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44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4458"/>
    <w:pPr>
      <w:spacing w:before="160"/>
      <w:jc w:val="center"/>
    </w:pPr>
    <w:rPr>
      <w:i/>
      <w:iCs/>
      <w:color w:val="404040" w:themeColor="text1" w:themeTint="BF"/>
    </w:rPr>
  </w:style>
  <w:style w:type="character" w:customStyle="1" w:styleId="QuoteChar">
    <w:name w:val="Quote Char"/>
    <w:basedOn w:val="DefaultParagraphFont"/>
    <w:link w:val="Quote"/>
    <w:uiPriority w:val="29"/>
    <w:rsid w:val="00254458"/>
    <w:rPr>
      <w:i/>
      <w:iCs/>
      <w:color w:val="404040" w:themeColor="text1" w:themeTint="BF"/>
    </w:rPr>
  </w:style>
  <w:style w:type="paragraph" w:styleId="ListParagraph">
    <w:name w:val="List Paragraph"/>
    <w:basedOn w:val="Normal"/>
    <w:uiPriority w:val="34"/>
    <w:qFormat/>
    <w:rsid w:val="00254458"/>
    <w:pPr>
      <w:ind w:left="720"/>
      <w:contextualSpacing/>
    </w:pPr>
  </w:style>
  <w:style w:type="character" w:styleId="IntenseEmphasis">
    <w:name w:val="Intense Emphasis"/>
    <w:basedOn w:val="DefaultParagraphFont"/>
    <w:uiPriority w:val="21"/>
    <w:qFormat/>
    <w:rsid w:val="00254458"/>
    <w:rPr>
      <w:i/>
      <w:iCs/>
      <w:color w:val="0F4761" w:themeColor="accent1" w:themeShade="BF"/>
    </w:rPr>
  </w:style>
  <w:style w:type="paragraph" w:styleId="IntenseQuote">
    <w:name w:val="Intense Quote"/>
    <w:basedOn w:val="Normal"/>
    <w:next w:val="Normal"/>
    <w:link w:val="IntenseQuoteChar"/>
    <w:uiPriority w:val="30"/>
    <w:qFormat/>
    <w:rsid w:val="002544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4458"/>
    <w:rPr>
      <w:i/>
      <w:iCs/>
      <w:color w:val="0F4761" w:themeColor="accent1" w:themeShade="BF"/>
    </w:rPr>
  </w:style>
  <w:style w:type="character" w:styleId="IntenseReference">
    <w:name w:val="Intense Reference"/>
    <w:basedOn w:val="DefaultParagraphFont"/>
    <w:uiPriority w:val="32"/>
    <w:qFormat/>
    <w:rsid w:val="00254458"/>
    <w:rPr>
      <w:b/>
      <w:bCs/>
      <w:smallCaps/>
      <w:color w:val="0F4761" w:themeColor="accent1" w:themeShade="BF"/>
      <w:spacing w:val="5"/>
    </w:rPr>
  </w:style>
  <w:style w:type="character" w:styleId="Hyperlink">
    <w:name w:val="Hyperlink"/>
    <w:basedOn w:val="DefaultParagraphFont"/>
    <w:uiPriority w:val="99"/>
    <w:unhideWhenUsed/>
    <w:rsid w:val="000E253A"/>
    <w:rPr>
      <w:color w:val="467886" w:themeColor="hyperlink"/>
      <w:u w:val="single"/>
    </w:rPr>
  </w:style>
  <w:style w:type="character" w:styleId="UnresolvedMention">
    <w:name w:val="Unresolved Mention"/>
    <w:basedOn w:val="DefaultParagraphFont"/>
    <w:uiPriority w:val="99"/>
    <w:semiHidden/>
    <w:unhideWhenUsed/>
    <w:rsid w:val="000E25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healthequals.org.uk/about-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356</Words>
  <Characters>1820</Characters>
  <Application>Microsoft Office Word</Application>
  <DocSecurity>0</DocSecurity>
  <Lines>45</Lines>
  <Paragraphs>27</Paragraphs>
  <ScaleCrop>false</ScaleCrop>
  <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Conto</dc:creator>
  <cp:keywords/>
  <dc:description/>
  <cp:lastModifiedBy>Kate Conto</cp:lastModifiedBy>
  <cp:revision>18</cp:revision>
  <dcterms:created xsi:type="dcterms:W3CDTF">2025-11-03T10:26:00Z</dcterms:created>
  <dcterms:modified xsi:type="dcterms:W3CDTF">2025-11-03T10:43:00Z</dcterms:modified>
</cp:coreProperties>
</file>